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320" w:type="dxa"/>
        <w:tblLook w:val="04A0" w:firstRow="1" w:lastRow="0" w:firstColumn="1" w:lastColumn="0" w:noHBand="0" w:noVBand="1"/>
      </w:tblPr>
      <w:tblGrid>
        <w:gridCol w:w="3375"/>
        <w:gridCol w:w="4047"/>
        <w:gridCol w:w="4008"/>
      </w:tblGrid>
      <w:tr w:rsidR="002609BA" w14:paraId="5C982307" w14:textId="77777777" w:rsidTr="00B04A8E">
        <w:tc>
          <w:tcPr>
            <w:tcW w:w="11430" w:type="dxa"/>
            <w:gridSpan w:val="3"/>
            <w:shd w:val="clear" w:color="auto" w:fill="E2EFD9" w:themeFill="accent6" w:themeFillTint="33"/>
          </w:tcPr>
          <w:p w14:paraId="65572E4D" w14:textId="3AD839E2" w:rsidR="002609BA" w:rsidRPr="002609BA" w:rsidRDefault="002609BA" w:rsidP="002609BA">
            <w:pPr>
              <w:jc w:val="center"/>
              <w:rPr>
                <w:b/>
                <w:bCs/>
                <w:sz w:val="40"/>
                <w:szCs w:val="40"/>
              </w:rPr>
            </w:pPr>
            <w:r w:rsidRPr="002609BA">
              <w:rPr>
                <w:b/>
                <w:bCs/>
                <w:sz w:val="40"/>
                <w:szCs w:val="40"/>
              </w:rPr>
              <w:t>Office of the Controller Job Aid</w:t>
            </w:r>
          </w:p>
        </w:tc>
      </w:tr>
      <w:tr w:rsidR="00F367D7" w14:paraId="7BC8E115" w14:textId="3FB80CE0" w:rsidTr="00B04A8E">
        <w:tc>
          <w:tcPr>
            <w:tcW w:w="3375" w:type="dxa"/>
            <w:shd w:val="clear" w:color="auto" w:fill="E2EFD9" w:themeFill="accent6" w:themeFillTint="33"/>
          </w:tcPr>
          <w:p w14:paraId="5CA03AE5" w14:textId="30FFC555" w:rsidR="00F367D7" w:rsidRPr="002E4873" w:rsidRDefault="00F367D7" w:rsidP="002609BA">
            <w:pPr>
              <w:jc w:val="center"/>
              <w:rPr>
                <w:b/>
                <w:bCs/>
                <w:sz w:val="32"/>
                <w:szCs w:val="32"/>
              </w:rPr>
            </w:pPr>
            <w:r w:rsidRPr="002E4873">
              <w:rPr>
                <w:b/>
                <w:bCs/>
                <w:sz w:val="32"/>
                <w:szCs w:val="32"/>
              </w:rPr>
              <w:t>Responsible Unit</w:t>
            </w:r>
          </w:p>
        </w:tc>
        <w:sdt>
          <w:sdtPr>
            <w:rPr>
              <w:b/>
              <w:bCs/>
              <w:sz w:val="40"/>
              <w:szCs w:val="40"/>
            </w:rPr>
            <w:alias w:val="Select"/>
            <w:tag w:val="Select"/>
            <w:id w:val="1467321450"/>
            <w:placeholder>
              <w:docPart w:val="9CA2D99F9DEE4484A9FEDD09AA78D061"/>
            </w:placeholder>
            <w:dropDownList>
              <w:listItem w:value="Choose an item."/>
              <w:listItem w:displayText="Disbursements" w:value="Disbursements"/>
              <w:listItem w:displayText="General Accounting" w:value="General Accounting"/>
              <w:listItem w:displayText="Payroll" w:value="Payroll"/>
              <w:listItem w:displayText="Financial Reporting" w:value="Financial Reporting"/>
              <w:listItem w:displayText="Student Financials" w:value="Student Financials"/>
            </w:dropDownList>
          </w:sdtPr>
          <w:sdtEndPr/>
          <w:sdtContent>
            <w:tc>
              <w:tcPr>
                <w:tcW w:w="4047" w:type="dxa"/>
                <w:shd w:val="clear" w:color="auto" w:fill="auto"/>
              </w:tcPr>
              <w:p w14:paraId="331D0801" w14:textId="5AC62782" w:rsidR="00F367D7" w:rsidRPr="002609BA" w:rsidRDefault="00843162" w:rsidP="002609BA">
                <w:pPr>
                  <w:jc w:val="center"/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b/>
                    <w:bCs/>
                    <w:sz w:val="40"/>
                    <w:szCs w:val="40"/>
                  </w:rPr>
                  <w:t>Payroll</w:t>
                </w:r>
              </w:p>
            </w:tc>
          </w:sdtContent>
        </w:sdt>
        <w:tc>
          <w:tcPr>
            <w:tcW w:w="4008" w:type="dxa"/>
            <w:shd w:val="clear" w:color="auto" w:fill="auto"/>
          </w:tcPr>
          <w:p w14:paraId="12D2C3D8" w14:textId="7A14A861" w:rsidR="00F367D7" w:rsidRPr="002609BA" w:rsidRDefault="009415B0" w:rsidP="00F367D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August</w:t>
            </w:r>
            <w:r w:rsidR="00843162">
              <w:rPr>
                <w:i/>
                <w:iCs/>
                <w:sz w:val="40"/>
                <w:szCs w:val="40"/>
              </w:rPr>
              <w:t xml:space="preserve"> 3</w:t>
            </w:r>
            <w:r>
              <w:rPr>
                <w:i/>
                <w:iCs/>
                <w:sz w:val="40"/>
                <w:szCs w:val="40"/>
              </w:rPr>
              <w:t>rd</w:t>
            </w:r>
            <w:r w:rsidR="00843162">
              <w:rPr>
                <w:i/>
                <w:iCs/>
                <w:sz w:val="40"/>
                <w:szCs w:val="40"/>
              </w:rPr>
              <w:t>, 2023</w:t>
            </w:r>
          </w:p>
        </w:tc>
      </w:tr>
      <w:tr w:rsidR="00364B28" w14:paraId="53D49E77" w14:textId="77777777" w:rsidTr="00B04A8E">
        <w:tc>
          <w:tcPr>
            <w:tcW w:w="3375" w:type="dxa"/>
            <w:shd w:val="clear" w:color="auto" w:fill="E2EFD9" w:themeFill="accent6" w:themeFillTint="33"/>
          </w:tcPr>
          <w:p w14:paraId="3914797C" w14:textId="7FA77401" w:rsidR="00364B28" w:rsidRPr="002E4873" w:rsidRDefault="00364B28" w:rsidP="002609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8055" w:type="dxa"/>
            <w:gridSpan w:val="2"/>
            <w:shd w:val="clear" w:color="auto" w:fill="auto"/>
          </w:tcPr>
          <w:p w14:paraId="618559D8" w14:textId="2E624216" w:rsidR="00364B28" w:rsidRPr="007515FC" w:rsidRDefault="00843162" w:rsidP="002609BA">
            <w:pPr>
              <w:jc w:val="center"/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Payroll Calculation (Leap vs Non-Leap Year)</w:t>
            </w:r>
          </w:p>
        </w:tc>
      </w:tr>
    </w:tbl>
    <w:p w14:paraId="33490581" w14:textId="77777777" w:rsidR="00843162" w:rsidRDefault="00843162" w:rsidP="00843162"/>
    <w:p w14:paraId="5FFE449A" w14:textId="57354FF3" w:rsidR="00843162" w:rsidRPr="009415B0" w:rsidRDefault="00843162" w:rsidP="00843162">
      <w:pPr>
        <w:rPr>
          <w:sz w:val="28"/>
          <w:szCs w:val="28"/>
        </w:rPr>
      </w:pPr>
      <w:r w:rsidRPr="009415B0">
        <w:rPr>
          <w:sz w:val="28"/>
          <w:szCs w:val="28"/>
        </w:rPr>
        <w:t>The State of Maryland calculates bi-weekly pay based on the annual salary spread across the number of days in the fiscal year.  In fiscal years that include leap day (February 29</w:t>
      </w:r>
      <w:r w:rsidRPr="009415B0">
        <w:rPr>
          <w:sz w:val="28"/>
          <w:szCs w:val="28"/>
          <w:vertAlign w:val="superscript"/>
        </w:rPr>
        <w:t>th</w:t>
      </w:r>
      <w:r w:rsidRPr="009415B0">
        <w:rPr>
          <w:sz w:val="28"/>
          <w:szCs w:val="28"/>
        </w:rPr>
        <w:t>) the bi-weekly salary will decrease slightly since the annual salary spreads over 366 days instead of 365 days for a normal year.</w:t>
      </w:r>
    </w:p>
    <w:p w14:paraId="389ABBEF" w14:textId="77777777" w:rsidR="00843162" w:rsidRPr="009415B0" w:rsidRDefault="00843162" w:rsidP="00843162">
      <w:pPr>
        <w:rPr>
          <w:b/>
          <w:bCs/>
          <w:sz w:val="28"/>
          <w:szCs w:val="28"/>
          <w:u w:val="single"/>
        </w:rPr>
      </w:pPr>
      <w:r w:rsidRPr="009415B0">
        <w:rPr>
          <w:b/>
          <w:bCs/>
          <w:sz w:val="28"/>
          <w:szCs w:val="28"/>
          <w:u w:val="single"/>
        </w:rPr>
        <w:t>Non-Leap Year Factor:</w:t>
      </w:r>
    </w:p>
    <w:p w14:paraId="2328A08F" w14:textId="77777777" w:rsidR="00843162" w:rsidRPr="009415B0" w:rsidRDefault="00843162" w:rsidP="00843162">
      <w:pPr>
        <w:rPr>
          <w:sz w:val="28"/>
          <w:szCs w:val="28"/>
        </w:rPr>
      </w:pPr>
      <w:r w:rsidRPr="009415B0">
        <w:rPr>
          <w:sz w:val="28"/>
          <w:szCs w:val="28"/>
        </w:rPr>
        <w:t>To compute the bi-weekly rate for twelve (12) month employees, divide the annual salary by 26.071428 (365/14).</w:t>
      </w:r>
    </w:p>
    <w:p w14:paraId="68A45488" w14:textId="77777777" w:rsidR="00843162" w:rsidRPr="009415B0" w:rsidRDefault="00843162" w:rsidP="00843162">
      <w:pPr>
        <w:rPr>
          <w:b/>
          <w:bCs/>
          <w:sz w:val="28"/>
          <w:szCs w:val="28"/>
          <w:u w:val="single"/>
        </w:rPr>
      </w:pPr>
      <w:r w:rsidRPr="009415B0">
        <w:rPr>
          <w:b/>
          <w:bCs/>
          <w:sz w:val="28"/>
          <w:szCs w:val="28"/>
          <w:u w:val="single"/>
        </w:rPr>
        <w:t>Leap Year Factor:</w:t>
      </w:r>
    </w:p>
    <w:p w14:paraId="034BC34C" w14:textId="77777777" w:rsidR="00843162" w:rsidRPr="009415B0" w:rsidRDefault="00843162" w:rsidP="00843162">
      <w:pPr>
        <w:rPr>
          <w:sz w:val="28"/>
          <w:szCs w:val="28"/>
        </w:rPr>
      </w:pPr>
      <w:r w:rsidRPr="009415B0">
        <w:rPr>
          <w:sz w:val="28"/>
          <w:szCs w:val="28"/>
        </w:rPr>
        <w:t>To compute the bi-weekly rate for twelve (12) month employees, divide the annual salary by 26.142857 (366/14).</w:t>
      </w:r>
    </w:p>
    <w:p w14:paraId="58CB2FE8" w14:textId="77777777" w:rsidR="00843162" w:rsidRPr="009415B0" w:rsidRDefault="00843162">
      <w:pPr>
        <w:rPr>
          <w:sz w:val="28"/>
          <w:szCs w:val="28"/>
        </w:rPr>
      </w:pPr>
    </w:p>
    <w:sectPr w:rsidR="00843162" w:rsidRPr="009415B0" w:rsidSect="00B04A8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F9C6" w14:textId="77777777" w:rsidR="00141B68" w:rsidRDefault="00141B68" w:rsidP="002609BA">
      <w:pPr>
        <w:spacing w:after="0" w:line="240" w:lineRule="auto"/>
      </w:pPr>
      <w:r>
        <w:separator/>
      </w:r>
    </w:p>
  </w:endnote>
  <w:endnote w:type="continuationSeparator" w:id="0">
    <w:p w14:paraId="3386329B" w14:textId="77777777" w:rsidR="00141B68" w:rsidRDefault="00141B68" w:rsidP="0026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F5D7" w14:textId="77777777" w:rsidR="00141B68" w:rsidRDefault="00141B68" w:rsidP="002609BA">
      <w:pPr>
        <w:spacing w:after="0" w:line="240" w:lineRule="auto"/>
      </w:pPr>
      <w:r>
        <w:separator/>
      </w:r>
    </w:p>
  </w:footnote>
  <w:footnote w:type="continuationSeparator" w:id="0">
    <w:p w14:paraId="6BC5EA30" w14:textId="77777777" w:rsidR="00141B68" w:rsidRDefault="00141B68" w:rsidP="0026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B1B4" w14:textId="78D2EBCD" w:rsidR="002609BA" w:rsidRDefault="002609BA">
    <w:pPr>
      <w:pStyle w:val="Header"/>
    </w:pPr>
    <w:r>
      <w:rPr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D12CE" wp14:editId="119A9013">
              <wp:simplePos x="0" y="0"/>
              <wp:positionH relativeFrom="column">
                <wp:posOffset>4419600</wp:posOffset>
              </wp:positionH>
              <wp:positionV relativeFrom="paragraph">
                <wp:posOffset>66675</wp:posOffset>
              </wp:positionV>
              <wp:extent cx="1924050" cy="304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0D2F6E" w14:textId="102F840C" w:rsidR="002609BA" w:rsidRDefault="002609BA">
                          <w:r>
                            <w:rPr>
                              <w:rFonts w:ascii="Franklin Gothic Book" w:hAnsi="Franklin Gothic Book" w:cs="GothamNarrow-MediumItalic"/>
                              <w:b/>
                              <w:iCs/>
                              <w:sz w:val="16"/>
                              <w:szCs w:val="16"/>
                            </w:rPr>
                            <w:t>ADMINISTRATION AND FINANCE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D12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8pt;margin-top:5.25pt;width:151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" fillcolor="white [3201]" stroked="f" strokeweight=".5pt">
              <v:textbox>
                <w:txbxContent>
                  <w:p w14:paraId="5C0D2F6E" w14:textId="102F840C" w:rsidR="002609BA" w:rsidRDefault="002609BA">
                    <w:r>
                      <w:rPr>
                        <w:rFonts w:ascii="Franklin Gothic Book" w:hAnsi="Franklin Gothic Book" w:cs="GothamNarrow-MediumItalic"/>
                        <w:b/>
                        <w:iCs/>
                        <w:sz w:val="16"/>
                        <w:szCs w:val="16"/>
                      </w:rPr>
                      <w:t>ADMINISTRATION AND FINANCE</w:t>
                    </w:r>
                  </w:p>
                </w:txbxContent>
              </v:textbox>
            </v:shape>
          </w:pict>
        </mc:Fallback>
      </mc:AlternateContent>
    </w:r>
    <w:r w:rsidRPr="00DA7552">
      <w:rPr>
        <w:noProof/>
        <w:color w:val="FF0000"/>
        <w:sz w:val="40"/>
        <w:szCs w:val="40"/>
      </w:rPr>
      <w:drawing>
        <wp:inline distT="0" distB="0" distL="0" distR="0" wp14:anchorId="0B58E785" wp14:editId="6CB699E7">
          <wp:extent cx="1914525" cy="458435"/>
          <wp:effectExtent l="0" t="0" r="0" b="0"/>
          <wp:docPr id="3" name="Picture 3" descr="W:\FSManagement\FS Director\Policies\Logos\June 2017\UMB-logo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FSManagement\FS Director\Policies\Logos\June 2017\UMB-logo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882" cy="476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40A0E" w14:textId="77777777" w:rsidR="002609BA" w:rsidRDefault="002609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BA"/>
    <w:rsid w:val="000E5D45"/>
    <w:rsid w:val="00141B68"/>
    <w:rsid w:val="002609BA"/>
    <w:rsid w:val="00280888"/>
    <w:rsid w:val="002E4873"/>
    <w:rsid w:val="00364B28"/>
    <w:rsid w:val="007515FC"/>
    <w:rsid w:val="00843162"/>
    <w:rsid w:val="009415B0"/>
    <w:rsid w:val="00972018"/>
    <w:rsid w:val="009D3CD5"/>
    <w:rsid w:val="00B04A8E"/>
    <w:rsid w:val="00C132AC"/>
    <w:rsid w:val="00D8049B"/>
    <w:rsid w:val="00F3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83A9F"/>
  <w15:chartTrackingRefBased/>
  <w15:docId w15:val="{7FD96F6E-626A-4E0E-9550-80A578E1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BA"/>
  </w:style>
  <w:style w:type="paragraph" w:styleId="Footer">
    <w:name w:val="footer"/>
    <w:basedOn w:val="Normal"/>
    <w:link w:val="FooterChar"/>
    <w:uiPriority w:val="99"/>
    <w:unhideWhenUsed/>
    <w:rsid w:val="0026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BA"/>
  </w:style>
  <w:style w:type="table" w:styleId="TableGrid">
    <w:name w:val="Table Grid"/>
    <w:basedOn w:val="TableNormal"/>
    <w:uiPriority w:val="39"/>
    <w:rsid w:val="0026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3C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A2D99F9DEE4484A9FEDD09AA78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B2AC-0CCB-42A8-80EC-76BB006ED03B}"/>
      </w:docPartPr>
      <w:docPartBody>
        <w:p w:rsidR="001F7BDB" w:rsidRDefault="003A10D3" w:rsidP="003A10D3">
          <w:pPr>
            <w:pStyle w:val="9CA2D99F9DEE4484A9FEDD09AA78D061"/>
          </w:pPr>
          <w:r w:rsidRPr="002408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D3"/>
    <w:rsid w:val="001F7BDB"/>
    <w:rsid w:val="003A10D3"/>
    <w:rsid w:val="0083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0D3"/>
    <w:rPr>
      <w:color w:val="808080"/>
    </w:rPr>
  </w:style>
  <w:style w:type="paragraph" w:customStyle="1" w:styleId="9CA2D99F9DEE4484A9FEDD09AA78D061">
    <w:name w:val="9CA2D99F9DEE4484A9FEDD09AA78D061"/>
    <w:rsid w:val="003A1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Baltimore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Cynthia</dc:creator>
  <cp:keywords/>
  <dc:description/>
  <cp:lastModifiedBy>Chow, Candace</cp:lastModifiedBy>
  <cp:revision>2</cp:revision>
  <dcterms:created xsi:type="dcterms:W3CDTF">2023-08-03T17:12:00Z</dcterms:created>
  <dcterms:modified xsi:type="dcterms:W3CDTF">2023-08-03T17:12:00Z</dcterms:modified>
</cp:coreProperties>
</file>