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A6" w:rsidRDefault="00440288" w:rsidP="00913494">
      <w:pPr>
        <w:pStyle w:val="Title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 </w:t>
      </w:r>
      <w:r w:rsidR="00D17001" w:rsidRPr="00D17001">
        <w:rPr>
          <w:sz w:val="40"/>
          <w:szCs w:val="44"/>
        </w:rPr>
        <w:t>Volume</w:t>
      </w:r>
      <w:r w:rsidR="00D17001">
        <w:rPr>
          <w:sz w:val="40"/>
          <w:szCs w:val="44"/>
        </w:rPr>
        <w:t>/Schedule</w:t>
      </w:r>
      <w:r w:rsidR="00D17001" w:rsidRPr="00D17001">
        <w:rPr>
          <w:sz w:val="40"/>
          <w:szCs w:val="44"/>
        </w:rPr>
        <w:t>-Based</w:t>
      </w:r>
      <w:r w:rsidR="00D708FD" w:rsidRPr="00D17001">
        <w:rPr>
          <w:sz w:val="40"/>
          <w:szCs w:val="44"/>
        </w:rPr>
        <w:t xml:space="preserve"> </w:t>
      </w:r>
      <w:r w:rsidR="007907A6" w:rsidRPr="00D17001">
        <w:rPr>
          <w:sz w:val="40"/>
          <w:szCs w:val="44"/>
        </w:rPr>
        <w:t>Project</w:t>
      </w:r>
      <w:r w:rsidR="00D708FD" w:rsidRPr="00D17001">
        <w:rPr>
          <w:sz w:val="40"/>
          <w:szCs w:val="44"/>
        </w:rPr>
        <w:t>s</w:t>
      </w:r>
      <w:r w:rsidR="007907A6" w:rsidRPr="00D17001">
        <w:rPr>
          <w:sz w:val="40"/>
          <w:szCs w:val="44"/>
        </w:rPr>
        <w:t xml:space="preserve"> Closeout Instructions</w:t>
      </w:r>
    </w:p>
    <w:p w:rsidR="007907A6" w:rsidRPr="008850EC" w:rsidRDefault="007907A6" w:rsidP="00913494">
      <w:pPr>
        <w:pStyle w:val="NoSpacing"/>
        <w:rPr>
          <w:b/>
          <w:sz w:val="24"/>
          <w:szCs w:val="24"/>
          <w:u w:val="single"/>
        </w:rPr>
      </w:pPr>
      <w:r w:rsidRPr="008850EC">
        <w:rPr>
          <w:b/>
          <w:sz w:val="24"/>
          <w:szCs w:val="24"/>
          <w:u w:val="single"/>
        </w:rPr>
        <w:t xml:space="preserve">Purpose: </w:t>
      </w:r>
    </w:p>
    <w:p w:rsidR="007907A6" w:rsidRPr="008850EC" w:rsidRDefault="007907A6" w:rsidP="00913494">
      <w:pPr>
        <w:pStyle w:val="NoSpacing"/>
        <w:rPr>
          <w:sz w:val="24"/>
          <w:szCs w:val="24"/>
        </w:rPr>
      </w:pPr>
      <w:r w:rsidRPr="008850EC">
        <w:rPr>
          <w:sz w:val="24"/>
          <w:szCs w:val="24"/>
        </w:rPr>
        <w:t>To efficiently and accurately close out deliverable projec</w:t>
      </w:r>
      <w:r w:rsidR="00034635" w:rsidRPr="008850EC">
        <w:rPr>
          <w:sz w:val="24"/>
          <w:szCs w:val="24"/>
        </w:rPr>
        <w:t>t</w:t>
      </w:r>
      <w:r w:rsidR="002C2A04" w:rsidRPr="008850EC">
        <w:rPr>
          <w:sz w:val="24"/>
          <w:szCs w:val="24"/>
        </w:rPr>
        <w:t xml:space="preserve">s that </w:t>
      </w:r>
      <w:r w:rsidR="009B7705" w:rsidRPr="008850EC">
        <w:rPr>
          <w:sz w:val="24"/>
          <w:szCs w:val="24"/>
        </w:rPr>
        <w:t xml:space="preserve">have end dates through </w:t>
      </w:r>
      <w:r w:rsidR="00BD7BB6">
        <w:rPr>
          <w:b/>
          <w:sz w:val="24"/>
          <w:szCs w:val="24"/>
          <w:highlight w:val="yellow"/>
        </w:rPr>
        <w:t>3/31</w:t>
      </w:r>
      <w:r w:rsidR="00483402">
        <w:rPr>
          <w:b/>
          <w:sz w:val="24"/>
          <w:szCs w:val="24"/>
          <w:highlight w:val="yellow"/>
        </w:rPr>
        <w:t>/20</w:t>
      </w:r>
      <w:r w:rsidR="000A4D0F">
        <w:rPr>
          <w:b/>
          <w:sz w:val="24"/>
          <w:szCs w:val="24"/>
          <w:highlight w:val="yellow"/>
        </w:rPr>
        <w:t>21</w:t>
      </w:r>
      <w:r w:rsidR="009B7705" w:rsidRPr="008850EC">
        <w:rPr>
          <w:sz w:val="24"/>
          <w:szCs w:val="24"/>
        </w:rPr>
        <w:t>.</w:t>
      </w:r>
    </w:p>
    <w:p w:rsidR="007907A6" w:rsidRPr="008850EC" w:rsidRDefault="007907A6" w:rsidP="00913494">
      <w:pPr>
        <w:pStyle w:val="NoSpacing"/>
        <w:rPr>
          <w:sz w:val="24"/>
          <w:szCs w:val="24"/>
        </w:rPr>
      </w:pPr>
    </w:p>
    <w:p w:rsidR="007907A6" w:rsidRPr="008850EC" w:rsidRDefault="007907A6" w:rsidP="00913494">
      <w:pPr>
        <w:pStyle w:val="NoSpacing"/>
        <w:rPr>
          <w:b/>
          <w:sz w:val="24"/>
          <w:szCs w:val="24"/>
          <w:u w:val="single"/>
        </w:rPr>
      </w:pPr>
      <w:r w:rsidRPr="008850EC">
        <w:rPr>
          <w:b/>
          <w:sz w:val="24"/>
          <w:szCs w:val="24"/>
          <w:u w:val="single"/>
        </w:rPr>
        <w:t>Guidelines:</w:t>
      </w:r>
    </w:p>
    <w:p w:rsidR="007907A6" w:rsidRPr="008850EC" w:rsidRDefault="007907A6" w:rsidP="00913494">
      <w:pPr>
        <w:pStyle w:val="NoSpacing"/>
        <w:rPr>
          <w:sz w:val="24"/>
          <w:szCs w:val="24"/>
        </w:rPr>
      </w:pPr>
      <w:r w:rsidRPr="008850EC">
        <w:rPr>
          <w:sz w:val="24"/>
          <w:szCs w:val="24"/>
        </w:rPr>
        <w:t xml:space="preserve"> In order for a project to be closed, we must first ensure the following criteria are met:</w:t>
      </w:r>
    </w:p>
    <w:p w:rsidR="007907A6" w:rsidRPr="008850EC" w:rsidRDefault="007907A6" w:rsidP="00261026">
      <w:pPr>
        <w:pStyle w:val="NoSpacing"/>
        <w:rPr>
          <w:sz w:val="24"/>
          <w:szCs w:val="24"/>
        </w:rPr>
      </w:pPr>
    </w:p>
    <w:p w:rsidR="007907A6" w:rsidRPr="008850EC" w:rsidRDefault="007907A6" w:rsidP="00261026">
      <w:pPr>
        <w:pStyle w:val="NoSpacing"/>
        <w:rPr>
          <w:sz w:val="24"/>
          <w:szCs w:val="24"/>
        </w:rPr>
      </w:pPr>
      <w:r w:rsidRPr="008850EC">
        <w:rPr>
          <w:sz w:val="24"/>
          <w:szCs w:val="24"/>
        </w:rPr>
        <w:t>-</w:t>
      </w:r>
      <w:r w:rsidR="008850EC" w:rsidRPr="008850EC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Project has ended</w:t>
      </w:r>
    </w:p>
    <w:p w:rsidR="007907A6" w:rsidRPr="008850EC" w:rsidRDefault="007907A6" w:rsidP="00261026">
      <w:pPr>
        <w:pStyle w:val="NoSpacing"/>
        <w:rPr>
          <w:sz w:val="24"/>
          <w:szCs w:val="24"/>
        </w:rPr>
      </w:pPr>
      <w:r w:rsidRPr="008850EC">
        <w:rPr>
          <w:sz w:val="24"/>
          <w:szCs w:val="24"/>
        </w:rPr>
        <w:t>-</w:t>
      </w:r>
      <w:r w:rsidR="008850EC" w:rsidRPr="008850EC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Encumbrances are closed</w:t>
      </w:r>
    </w:p>
    <w:p w:rsidR="007907A6" w:rsidRPr="008850EC" w:rsidRDefault="007907A6" w:rsidP="00913494">
      <w:pPr>
        <w:pStyle w:val="NoSpacing"/>
        <w:rPr>
          <w:sz w:val="24"/>
          <w:szCs w:val="24"/>
        </w:rPr>
      </w:pPr>
      <w:r w:rsidRPr="008850EC">
        <w:rPr>
          <w:sz w:val="24"/>
          <w:szCs w:val="24"/>
        </w:rPr>
        <w:t>-</w:t>
      </w:r>
      <w:r w:rsidR="008850EC" w:rsidRPr="008850EC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All revenue is accurately applied</w:t>
      </w:r>
    </w:p>
    <w:p w:rsidR="007907A6" w:rsidRPr="008850EC" w:rsidRDefault="007907A6" w:rsidP="00913494">
      <w:pPr>
        <w:pStyle w:val="NoSpacing"/>
        <w:rPr>
          <w:sz w:val="24"/>
          <w:szCs w:val="24"/>
        </w:rPr>
      </w:pPr>
      <w:r w:rsidRPr="008850EC">
        <w:rPr>
          <w:sz w:val="24"/>
          <w:szCs w:val="24"/>
        </w:rPr>
        <w:t>-</w:t>
      </w:r>
      <w:r w:rsidR="008850EC" w:rsidRPr="008850EC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No invoices are open</w:t>
      </w:r>
    </w:p>
    <w:p w:rsidR="007907A6" w:rsidRPr="008850EC" w:rsidRDefault="007907A6" w:rsidP="00913494">
      <w:pPr>
        <w:pStyle w:val="NoSpacing"/>
        <w:rPr>
          <w:sz w:val="24"/>
          <w:szCs w:val="24"/>
        </w:rPr>
      </w:pPr>
      <w:r w:rsidRPr="008850EC">
        <w:rPr>
          <w:sz w:val="24"/>
          <w:szCs w:val="24"/>
        </w:rPr>
        <w:t>-</w:t>
      </w:r>
      <w:r w:rsidR="008850EC" w:rsidRPr="008850EC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All expenses are accurately posted</w:t>
      </w:r>
    </w:p>
    <w:p w:rsidR="00CE3CAA" w:rsidRPr="008850EC" w:rsidRDefault="00CE3CAA" w:rsidP="00913494">
      <w:pPr>
        <w:pStyle w:val="NoSpacing"/>
        <w:rPr>
          <w:b/>
          <w:sz w:val="24"/>
          <w:szCs w:val="24"/>
        </w:rPr>
      </w:pPr>
      <w:r w:rsidRPr="008850EC">
        <w:rPr>
          <w:b/>
          <w:sz w:val="24"/>
          <w:szCs w:val="24"/>
        </w:rPr>
        <w:t>-</w:t>
      </w:r>
      <w:r w:rsidR="008850EC" w:rsidRPr="008850EC">
        <w:rPr>
          <w:b/>
          <w:sz w:val="24"/>
          <w:szCs w:val="24"/>
        </w:rPr>
        <w:t xml:space="preserve"> Accounts </w:t>
      </w:r>
      <w:r w:rsidR="00E53166">
        <w:rPr>
          <w:b/>
          <w:sz w:val="24"/>
          <w:szCs w:val="24"/>
        </w:rPr>
        <w:t>7062/7072</w:t>
      </w:r>
      <w:r w:rsidRPr="008850EC">
        <w:rPr>
          <w:b/>
          <w:sz w:val="24"/>
          <w:szCs w:val="24"/>
        </w:rPr>
        <w:t xml:space="preserve"> are liquidated to a zero balance</w:t>
      </w:r>
    </w:p>
    <w:p w:rsidR="00CE3CAA" w:rsidRPr="008850EC" w:rsidRDefault="00CE3CAA" w:rsidP="00913494">
      <w:pPr>
        <w:pStyle w:val="NoSpacing"/>
        <w:rPr>
          <w:sz w:val="24"/>
          <w:szCs w:val="24"/>
        </w:rPr>
      </w:pPr>
      <w:r w:rsidRPr="008850EC">
        <w:rPr>
          <w:b/>
          <w:sz w:val="24"/>
          <w:szCs w:val="24"/>
        </w:rPr>
        <w:t>-</w:t>
      </w:r>
      <w:r w:rsidR="008850EC" w:rsidRPr="008850EC">
        <w:rPr>
          <w:b/>
          <w:sz w:val="24"/>
          <w:szCs w:val="24"/>
        </w:rPr>
        <w:t xml:space="preserve"> Accounts </w:t>
      </w:r>
      <w:r w:rsidRPr="008850EC">
        <w:rPr>
          <w:b/>
          <w:sz w:val="24"/>
          <w:szCs w:val="24"/>
        </w:rPr>
        <w:t>3732/3734 are reconciled to ensure that only the first $25k of a subaward is charged to 3732</w:t>
      </w:r>
    </w:p>
    <w:p w:rsidR="007907A6" w:rsidRPr="008850EC" w:rsidRDefault="007907A6" w:rsidP="00913494">
      <w:pPr>
        <w:pStyle w:val="NoSpacing"/>
        <w:rPr>
          <w:sz w:val="24"/>
          <w:szCs w:val="24"/>
        </w:rPr>
      </w:pPr>
    </w:p>
    <w:p w:rsidR="007907A6" w:rsidRPr="008850EC" w:rsidRDefault="007907A6" w:rsidP="00714AAD">
      <w:pPr>
        <w:pStyle w:val="NoSpacing"/>
        <w:rPr>
          <w:b/>
          <w:sz w:val="24"/>
          <w:szCs w:val="24"/>
          <w:u w:val="single"/>
        </w:rPr>
      </w:pPr>
      <w:r w:rsidRPr="008850EC">
        <w:rPr>
          <w:b/>
          <w:sz w:val="24"/>
          <w:szCs w:val="24"/>
          <w:u w:val="single"/>
        </w:rPr>
        <w:t>Step #1: Has The Project Ended Or Should The Date Be Extended?</w:t>
      </w:r>
    </w:p>
    <w:p w:rsidR="00B35120" w:rsidRPr="008850EC" w:rsidRDefault="00B35120" w:rsidP="00E53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Determine </w:t>
      </w:r>
      <w:r w:rsidR="00E53166" w:rsidRPr="00E53166">
        <w:rPr>
          <w:sz w:val="24"/>
          <w:szCs w:val="24"/>
        </w:rPr>
        <w:t>if the project has ended. If the project is over, proceed to Step #2.</w:t>
      </w:r>
    </w:p>
    <w:p w:rsidR="007907A6" w:rsidRPr="008850EC" w:rsidRDefault="007907A6" w:rsidP="00E5316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8850EC">
        <w:rPr>
          <w:b/>
          <w:sz w:val="24"/>
          <w:szCs w:val="24"/>
        </w:rPr>
        <w:t xml:space="preserve">If </w:t>
      </w:r>
      <w:r w:rsidR="00E53166" w:rsidRPr="00E53166">
        <w:rPr>
          <w:b/>
          <w:sz w:val="24"/>
          <w:szCs w:val="24"/>
        </w:rPr>
        <w:t xml:space="preserve">the project is ongoing and the end date needs to be extended, coordinate the extension </w:t>
      </w:r>
      <w:proofErr w:type="gramStart"/>
      <w:r w:rsidR="00E53166" w:rsidRPr="00E53166">
        <w:rPr>
          <w:b/>
          <w:sz w:val="24"/>
          <w:szCs w:val="24"/>
        </w:rPr>
        <w:t>with</w:t>
      </w:r>
      <w:proofErr w:type="gramEnd"/>
      <w:r w:rsidR="00E53166" w:rsidRPr="00E53166">
        <w:rPr>
          <w:b/>
          <w:sz w:val="24"/>
          <w:szCs w:val="24"/>
        </w:rPr>
        <w:t xml:space="preserve"> your assigned team in SPA.</w:t>
      </w:r>
    </w:p>
    <w:p w:rsidR="00E53166" w:rsidRPr="00E53166" w:rsidRDefault="00483402" w:rsidP="00E53166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5931E9">
        <w:rPr>
          <w:sz w:val="24"/>
          <w:szCs w:val="24"/>
        </w:rPr>
        <w:t>Select “No” in</w:t>
      </w:r>
      <w:r>
        <w:rPr>
          <w:b/>
          <w:sz w:val="24"/>
          <w:szCs w:val="24"/>
        </w:rPr>
        <w:t xml:space="preserve"> </w:t>
      </w:r>
      <w:r w:rsidR="005931E9">
        <w:rPr>
          <w:b/>
          <w:sz w:val="24"/>
          <w:szCs w:val="24"/>
        </w:rPr>
        <w:t xml:space="preserve">‘Close Project?’ </w:t>
      </w:r>
      <w:r w:rsidR="005931E9" w:rsidRPr="005931E9">
        <w:rPr>
          <w:sz w:val="24"/>
          <w:szCs w:val="24"/>
        </w:rPr>
        <w:t>c</w:t>
      </w:r>
      <w:r w:rsidRPr="005931E9">
        <w:rPr>
          <w:sz w:val="24"/>
          <w:szCs w:val="24"/>
        </w:rPr>
        <w:t>olumn</w:t>
      </w:r>
      <w:r w:rsidR="00E53166" w:rsidRPr="005931E9">
        <w:rPr>
          <w:sz w:val="24"/>
          <w:szCs w:val="24"/>
        </w:rPr>
        <w:t xml:space="preserve"> and enter t</w:t>
      </w:r>
      <w:r w:rsidRPr="005931E9">
        <w:rPr>
          <w:sz w:val="24"/>
          <w:szCs w:val="24"/>
        </w:rPr>
        <w:t>he proposed end date in</w:t>
      </w:r>
      <w:r>
        <w:rPr>
          <w:b/>
          <w:sz w:val="24"/>
          <w:szCs w:val="24"/>
        </w:rPr>
        <w:t xml:space="preserve"> </w:t>
      </w:r>
      <w:r w:rsidR="005931E9">
        <w:rPr>
          <w:b/>
          <w:sz w:val="24"/>
          <w:szCs w:val="24"/>
        </w:rPr>
        <w:t xml:space="preserve">‘Proposed End Date’ </w:t>
      </w:r>
      <w:r w:rsidR="005931E9" w:rsidRPr="005931E9">
        <w:rPr>
          <w:sz w:val="24"/>
          <w:szCs w:val="24"/>
        </w:rPr>
        <w:t>column</w:t>
      </w:r>
      <w:r w:rsidR="00E53166" w:rsidRPr="005931E9">
        <w:rPr>
          <w:sz w:val="24"/>
          <w:szCs w:val="24"/>
        </w:rPr>
        <w:t>.</w:t>
      </w:r>
      <w:r w:rsidR="00E53166" w:rsidRPr="00E53166">
        <w:rPr>
          <w:b/>
          <w:sz w:val="24"/>
          <w:szCs w:val="24"/>
        </w:rPr>
        <w:t xml:space="preserve"> </w:t>
      </w:r>
    </w:p>
    <w:p w:rsidR="00E53166" w:rsidRDefault="00E53166" w:rsidP="00E53166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E53166">
        <w:rPr>
          <w:sz w:val="24"/>
          <w:szCs w:val="24"/>
        </w:rPr>
        <w:t>Review the revenues and expenses for accuracy, but no further action is required on the spreadsheet for this project. If any discrepancies in the revenue or expense are identified, ent</w:t>
      </w:r>
      <w:r w:rsidR="00483402">
        <w:rPr>
          <w:sz w:val="24"/>
          <w:szCs w:val="24"/>
        </w:rPr>
        <w:t xml:space="preserve">er detailed remarks in </w:t>
      </w:r>
      <w:r w:rsidR="005931E9">
        <w:rPr>
          <w:sz w:val="24"/>
          <w:szCs w:val="24"/>
        </w:rPr>
        <w:t>‘</w:t>
      </w:r>
      <w:r w:rsidR="005931E9" w:rsidRPr="005931E9">
        <w:rPr>
          <w:b/>
          <w:sz w:val="24"/>
          <w:szCs w:val="24"/>
        </w:rPr>
        <w:t>Additional Department Notes’</w:t>
      </w:r>
      <w:r w:rsidR="005931E9">
        <w:rPr>
          <w:sz w:val="24"/>
          <w:szCs w:val="24"/>
        </w:rPr>
        <w:t xml:space="preserve"> column</w:t>
      </w:r>
      <w:r w:rsidRPr="00E53166">
        <w:rPr>
          <w:sz w:val="24"/>
          <w:szCs w:val="24"/>
        </w:rPr>
        <w:t xml:space="preserve">. </w:t>
      </w:r>
    </w:p>
    <w:p w:rsidR="009A113C" w:rsidRPr="008850EC" w:rsidRDefault="009A113C" w:rsidP="00E53166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The </w:t>
      </w:r>
      <w:r w:rsidR="00E53166" w:rsidRPr="00E53166">
        <w:rPr>
          <w:sz w:val="24"/>
          <w:szCs w:val="24"/>
        </w:rPr>
        <w:t>dates in Quantum will not be extended until SPAC is notified by SPA.</w:t>
      </w:r>
    </w:p>
    <w:p w:rsidR="007907A6" w:rsidRPr="008850EC" w:rsidRDefault="007907A6" w:rsidP="009461F4">
      <w:pPr>
        <w:pStyle w:val="NoSpacing"/>
        <w:rPr>
          <w:sz w:val="24"/>
          <w:szCs w:val="24"/>
        </w:rPr>
      </w:pPr>
    </w:p>
    <w:p w:rsidR="007907A6" w:rsidRPr="008850EC" w:rsidRDefault="007907A6" w:rsidP="00ED4104">
      <w:pPr>
        <w:pStyle w:val="NoSpacing"/>
        <w:rPr>
          <w:b/>
          <w:sz w:val="24"/>
          <w:szCs w:val="24"/>
          <w:u w:val="single"/>
        </w:rPr>
      </w:pPr>
      <w:r w:rsidRPr="008850EC">
        <w:rPr>
          <w:b/>
          <w:sz w:val="24"/>
          <w:szCs w:val="24"/>
          <w:u w:val="single"/>
        </w:rPr>
        <w:t>Step #2: Review Open Encumbrances</w:t>
      </w:r>
      <w:r w:rsidR="00F34012" w:rsidRPr="008850EC">
        <w:rPr>
          <w:b/>
          <w:sz w:val="24"/>
          <w:szCs w:val="24"/>
          <w:u w:val="single"/>
        </w:rPr>
        <w:t xml:space="preserve"> and Pre-Encumbrances</w:t>
      </w:r>
    </w:p>
    <w:p w:rsidR="00E53166" w:rsidRPr="00E53166" w:rsidRDefault="005931E9" w:rsidP="00E53166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The ‘</w:t>
      </w:r>
      <w:r w:rsidRPr="005931E9">
        <w:rPr>
          <w:b/>
          <w:sz w:val="24"/>
          <w:szCs w:val="24"/>
        </w:rPr>
        <w:t>Total Obligations’</w:t>
      </w:r>
      <w:r>
        <w:rPr>
          <w:sz w:val="24"/>
          <w:szCs w:val="24"/>
        </w:rPr>
        <w:t xml:space="preserve"> column</w:t>
      </w:r>
      <w:r w:rsidR="00E53166" w:rsidRPr="00E53166">
        <w:rPr>
          <w:sz w:val="24"/>
          <w:szCs w:val="24"/>
        </w:rPr>
        <w:t xml:space="preserve"> contains the balance of open Obligations (Purchase Orders) and </w:t>
      </w:r>
      <w:r>
        <w:rPr>
          <w:sz w:val="24"/>
          <w:szCs w:val="24"/>
        </w:rPr>
        <w:t>‘</w:t>
      </w:r>
      <w:r w:rsidRPr="005931E9">
        <w:rPr>
          <w:b/>
          <w:sz w:val="24"/>
          <w:szCs w:val="24"/>
        </w:rPr>
        <w:t>Total Commitments</w:t>
      </w:r>
      <w:r>
        <w:rPr>
          <w:sz w:val="24"/>
          <w:szCs w:val="24"/>
        </w:rPr>
        <w:t>’ column</w:t>
      </w:r>
      <w:r w:rsidR="00E53166" w:rsidRPr="00E53166">
        <w:rPr>
          <w:sz w:val="24"/>
          <w:szCs w:val="24"/>
        </w:rPr>
        <w:t xml:space="preserve"> contains the balance of open Commitments (Requisitions). </w:t>
      </w:r>
    </w:p>
    <w:p w:rsidR="007907A6" w:rsidRPr="00E53166" w:rsidRDefault="007907A6" w:rsidP="00E53166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E53166">
        <w:rPr>
          <w:b/>
          <w:sz w:val="24"/>
          <w:szCs w:val="24"/>
        </w:rPr>
        <w:t xml:space="preserve">If </w:t>
      </w:r>
      <w:r w:rsidR="00E53166" w:rsidRPr="00E53166">
        <w:rPr>
          <w:b/>
          <w:sz w:val="24"/>
          <w:szCs w:val="24"/>
        </w:rPr>
        <w:t>the open Obligations or Commitments are valid, the project will not be closed until the encumbrances or pre-encumbrances are either paid or closed.</w:t>
      </w:r>
    </w:p>
    <w:p w:rsidR="007907A6" w:rsidRPr="008850EC" w:rsidRDefault="00B35120" w:rsidP="00E53166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 w:rsidRPr="005931E9">
        <w:rPr>
          <w:sz w:val="24"/>
          <w:szCs w:val="24"/>
        </w:rPr>
        <w:t>Enter</w:t>
      </w:r>
      <w:r w:rsidRPr="008850EC">
        <w:rPr>
          <w:b/>
          <w:sz w:val="24"/>
          <w:szCs w:val="24"/>
        </w:rPr>
        <w:t xml:space="preserve"> “NO”</w:t>
      </w:r>
      <w:r w:rsidRPr="005931E9">
        <w:rPr>
          <w:sz w:val="24"/>
          <w:szCs w:val="24"/>
        </w:rPr>
        <w:t xml:space="preserve">, in </w:t>
      </w:r>
      <w:r w:rsidR="005931E9">
        <w:rPr>
          <w:b/>
          <w:sz w:val="24"/>
          <w:szCs w:val="24"/>
        </w:rPr>
        <w:t xml:space="preserve">‘Additional Department Notes’ </w:t>
      </w:r>
      <w:r w:rsidR="005931E9" w:rsidRPr="005931E9">
        <w:rPr>
          <w:sz w:val="24"/>
          <w:szCs w:val="24"/>
        </w:rPr>
        <w:t>column</w:t>
      </w:r>
      <w:r w:rsidR="00E53166" w:rsidRPr="005931E9">
        <w:rPr>
          <w:sz w:val="24"/>
          <w:szCs w:val="24"/>
        </w:rPr>
        <w:t xml:space="preserve"> and a</w:t>
      </w:r>
      <w:r w:rsidR="00483402" w:rsidRPr="005931E9">
        <w:rPr>
          <w:sz w:val="24"/>
          <w:szCs w:val="24"/>
        </w:rPr>
        <w:t>dd detailed remarks in</w:t>
      </w:r>
      <w:r w:rsidR="00483402">
        <w:rPr>
          <w:b/>
          <w:sz w:val="24"/>
          <w:szCs w:val="24"/>
        </w:rPr>
        <w:t xml:space="preserve"> </w:t>
      </w:r>
      <w:r w:rsidR="005931E9">
        <w:rPr>
          <w:b/>
          <w:sz w:val="24"/>
          <w:szCs w:val="24"/>
        </w:rPr>
        <w:t xml:space="preserve">‘Additional Department Notes’ </w:t>
      </w:r>
      <w:r w:rsidR="005931E9" w:rsidRPr="005931E9">
        <w:rPr>
          <w:sz w:val="24"/>
          <w:szCs w:val="24"/>
        </w:rPr>
        <w:t>column</w:t>
      </w:r>
      <w:r w:rsidR="00E53166" w:rsidRPr="00E53166">
        <w:rPr>
          <w:b/>
          <w:sz w:val="24"/>
          <w:szCs w:val="24"/>
        </w:rPr>
        <w:t>.</w:t>
      </w:r>
      <w:r w:rsidR="00E53166">
        <w:rPr>
          <w:b/>
          <w:sz w:val="24"/>
          <w:szCs w:val="24"/>
        </w:rPr>
        <w:tab/>
      </w:r>
    </w:p>
    <w:p w:rsidR="007907A6" w:rsidRPr="008850EC" w:rsidRDefault="007907A6" w:rsidP="00E53166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Review </w:t>
      </w:r>
      <w:r w:rsidR="00E53166" w:rsidRPr="00E53166">
        <w:rPr>
          <w:sz w:val="24"/>
          <w:szCs w:val="24"/>
        </w:rPr>
        <w:t>the revenues and expenses for accuracy, but no further action is required on the spreadsheet for this project.</w:t>
      </w:r>
    </w:p>
    <w:p w:rsidR="007907A6" w:rsidRPr="008850EC" w:rsidRDefault="00034635" w:rsidP="00176D8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If all payments </w:t>
      </w:r>
      <w:r w:rsidR="00E53166" w:rsidRPr="00E53166">
        <w:rPr>
          <w:sz w:val="24"/>
          <w:szCs w:val="24"/>
        </w:rPr>
        <w:t xml:space="preserve">have been made on the encumbrance, email </w:t>
      </w:r>
      <w:r w:rsidR="00176D80" w:rsidRPr="00176D80">
        <w:rPr>
          <w:sz w:val="24"/>
          <w:szCs w:val="24"/>
        </w:rPr>
        <w:t xml:space="preserve">Keith Gagnon </w:t>
      </w:r>
      <w:r w:rsidR="00E53166" w:rsidRPr="00E53166">
        <w:rPr>
          <w:sz w:val="24"/>
          <w:szCs w:val="24"/>
        </w:rPr>
        <w:t xml:space="preserve">at </w:t>
      </w:r>
      <w:r w:rsidR="00176D80" w:rsidRPr="00176D80">
        <w:rPr>
          <w:sz w:val="24"/>
          <w:szCs w:val="24"/>
        </w:rPr>
        <w:t>kgagnon@umaryland.edu</w:t>
      </w:r>
      <w:r w:rsidR="00E53166" w:rsidRPr="00E53166">
        <w:rPr>
          <w:sz w:val="24"/>
          <w:szCs w:val="24"/>
        </w:rPr>
        <w:t xml:space="preserve"> to request closing. The email needs to include the PO number and vendor name. Include RS </w:t>
      </w:r>
      <w:r w:rsidR="00E53166" w:rsidRPr="00E53166">
        <w:rPr>
          <w:b/>
          <w:sz w:val="24"/>
          <w:szCs w:val="24"/>
        </w:rPr>
        <w:t>SPAC-DLB Billing</w:t>
      </w:r>
      <w:r w:rsidR="00E53166" w:rsidRPr="00E53166">
        <w:rPr>
          <w:sz w:val="24"/>
          <w:szCs w:val="24"/>
        </w:rPr>
        <w:t xml:space="preserve"> on the email so we will know when the encumbrance is closed.</w:t>
      </w:r>
    </w:p>
    <w:p w:rsidR="008850EC" w:rsidRDefault="008850EC" w:rsidP="00ED4104">
      <w:pPr>
        <w:pStyle w:val="NoSpacing"/>
        <w:ind w:left="720"/>
        <w:rPr>
          <w:sz w:val="24"/>
          <w:szCs w:val="24"/>
        </w:rPr>
      </w:pPr>
    </w:p>
    <w:p w:rsidR="008850EC" w:rsidRPr="008850EC" w:rsidRDefault="008850EC" w:rsidP="00ED4104">
      <w:pPr>
        <w:pStyle w:val="NoSpacing"/>
        <w:ind w:left="720"/>
        <w:rPr>
          <w:sz w:val="24"/>
          <w:szCs w:val="24"/>
        </w:rPr>
      </w:pPr>
    </w:p>
    <w:p w:rsidR="007907A6" w:rsidRPr="008850EC" w:rsidRDefault="007907A6" w:rsidP="00ED4104">
      <w:pPr>
        <w:pStyle w:val="NoSpacing"/>
        <w:rPr>
          <w:b/>
          <w:sz w:val="24"/>
          <w:szCs w:val="24"/>
          <w:u w:val="single"/>
        </w:rPr>
      </w:pPr>
      <w:r w:rsidRPr="008850EC">
        <w:rPr>
          <w:b/>
          <w:sz w:val="24"/>
          <w:szCs w:val="24"/>
          <w:u w:val="single"/>
        </w:rPr>
        <w:t>Step #3: Review the Accuracy of Revenues and Expenses</w:t>
      </w:r>
    </w:p>
    <w:p w:rsidR="00034635" w:rsidRPr="00E53166" w:rsidRDefault="00E53166" w:rsidP="00E5316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53166">
        <w:rPr>
          <w:sz w:val="24"/>
          <w:szCs w:val="24"/>
        </w:rPr>
        <w:lastRenderedPageBreak/>
        <w:t xml:space="preserve">Review </w:t>
      </w:r>
      <w:r w:rsidRPr="005931E9">
        <w:rPr>
          <w:sz w:val="24"/>
          <w:szCs w:val="24"/>
        </w:rPr>
        <w:t>Unpaid Invoices</w:t>
      </w:r>
      <w:r w:rsidRPr="00E53166">
        <w:rPr>
          <w:sz w:val="24"/>
          <w:szCs w:val="24"/>
        </w:rPr>
        <w:t>. Are the open invoices valid? For a breakdown of the open invoice balance, go to the Awards Detail page in Quantum Analytics using the "What has been billed and collected on this Award" report selector</w:t>
      </w:r>
    </w:p>
    <w:p w:rsidR="002C2A04" w:rsidRDefault="00E53166" w:rsidP="00E5316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53166">
        <w:rPr>
          <w:sz w:val="24"/>
          <w:szCs w:val="24"/>
        </w:rPr>
        <w:t>Determine if any additional invoicing of the sponsor should occur and inp</w:t>
      </w:r>
      <w:r w:rsidR="00483402">
        <w:rPr>
          <w:sz w:val="24"/>
          <w:szCs w:val="24"/>
        </w:rPr>
        <w:t xml:space="preserve">ut detailed remarks in </w:t>
      </w:r>
      <w:r w:rsidR="005931E9">
        <w:rPr>
          <w:sz w:val="24"/>
          <w:szCs w:val="24"/>
        </w:rPr>
        <w:t>‘</w:t>
      </w:r>
      <w:r w:rsidR="005931E9" w:rsidRPr="00C72647">
        <w:rPr>
          <w:b/>
          <w:sz w:val="24"/>
          <w:szCs w:val="24"/>
        </w:rPr>
        <w:t>Additional Department Notes’</w:t>
      </w:r>
      <w:r w:rsidR="005931E9">
        <w:rPr>
          <w:sz w:val="24"/>
          <w:szCs w:val="24"/>
        </w:rPr>
        <w:t xml:space="preserve"> column</w:t>
      </w:r>
      <w:r w:rsidRPr="00E53166">
        <w:rPr>
          <w:sz w:val="24"/>
          <w:szCs w:val="24"/>
        </w:rPr>
        <w:t>. The project cannot be closed if additional invoicing needs to be completed.</w:t>
      </w:r>
    </w:p>
    <w:p w:rsidR="00E53166" w:rsidRDefault="00E53166" w:rsidP="00E5316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Determin</w:t>
      </w:r>
      <w:r w:rsidRPr="00E53166">
        <w:rPr>
          <w:sz w:val="24"/>
          <w:szCs w:val="24"/>
        </w:rPr>
        <w:t>e if all payments made by the sponsor have been posted to the project.</w:t>
      </w:r>
    </w:p>
    <w:p w:rsidR="00E53166" w:rsidRDefault="00E53166" w:rsidP="00C7264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C72647">
        <w:rPr>
          <w:sz w:val="24"/>
          <w:szCs w:val="24"/>
        </w:rPr>
        <w:t xml:space="preserve">the total expenses in </w:t>
      </w:r>
      <w:r w:rsidR="00C72647" w:rsidRPr="00C72647">
        <w:rPr>
          <w:b/>
          <w:sz w:val="24"/>
          <w:szCs w:val="24"/>
        </w:rPr>
        <w:t>LTD PROJECT BILLABLE COST</w:t>
      </w:r>
      <w:r w:rsidR="00C72647">
        <w:rPr>
          <w:sz w:val="24"/>
          <w:szCs w:val="24"/>
        </w:rPr>
        <w:t xml:space="preserve"> and </w:t>
      </w:r>
      <w:r w:rsidR="00C72647" w:rsidRPr="00C72647">
        <w:rPr>
          <w:b/>
          <w:sz w:val="24"/>
          <w:szCs w:val="24"/>
        </w:rPr>
        <w:t>LTD AWARD BILLABLE COST</w:t>
      </w:r>
      <w:r w:rsidR="00C72647">
        <w:rPr>
          <w:sz w:val="24"/>
          <w:szCs w:val="24"/>
        </w:rPr>
        <w:t xml:space="preserve"> columns</w:t>
      </w:r>
      <w:r w:rsidRPr="00E53166">
        <w:rPr>
          <w:sz w:val="24"/>
          <w:szCs w:val="24"/>
        </w:rPr>
        <w:t>.  Determine if all expenses related to the Project/Award are posted. The project will not be closed until all expenses have posted.</w:t>
      </w:r>
    </w:p>
    <w:p w:rsidR="00D17001" w:rsidRDefault="00D17001" w:rsidP="00D17001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D17001">
        <w:rPr>
          <w:sz w:val="24"/>
          <w:szCs w:val="24"/>
        </w:rPr>
        <w:t>the revenue and expenses are accurate, select “YES” f</w:t>
      </w:r>
      <w:r w:rsidR="00483402">
        <w:rPr>
          <w:sz w:val="24"/>
          <w:szCs w:val="24"/>
        </w:rPr>
        <w:t xml:space="preserve">rom the dropdown box in </w:t>
      </w:r>
      <w:r w:rsidR="005931E9">
        <w:rPr>
          <w:sz w:val="24"/>
          <w:szCs w:val="24"/>
        </w:rPr>
        <w:t>‘</w:t>
      </w:r>
      <w:r w:rsidR="005931E9" w:rsidRPr="00C72647">
        <w:rPr>
          <w:b/>
          <w:sz w:val="24"/>
          <w:szCs w:val="24"/>
        </w:rPr>
        <w:t xml:space="preserve">Additional Department Notes’ </w:t>
      </w:r>
      <w:r w:rsidR="005931E9">
        <w:rPr>
          <w:sz w:val="24"/>
          <w:szCs w:val="24"/>
        </w:rPr>
        <w:t>column</w:t>
      </w:r>
      <w:r w:rsidRPr="00D17001">
        <w:rPr>
          <w:sz w:val="24"/>
          <w:szCs w:val="24"/>
        </w:rPr>
        <w:t>.</w:t>
      </w:r>
    </w:p>
    <w:p w:rsidR="00D17001" w:rsidRPr="00E53166" w:rsidRDefault="00D17001" w:rsidP="00D17001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D17001">
        <w:rPr>
          <w:sz w:val="24"/>
          <w:szCs w:val="24"/>
        </w:rPr>
        <w:t>the revenue and/or expenses are inaccurate, select “NO” from the dropdown box. Input remarks that identify the issues and the necessary corrections (ex. F&amp;A rate should be 10%, revenue has been posted to my department revolving account, the final progress report has not been submitted, SPAC needs to invoice for $25,000).</w:t>
      </w:r>
    </w:p>
    <w:p w:rsidR="002C2A04" w:rsidRPr="008850EC" w:rsidRDefault="002C2A04" w:rsidP="002C2A04">
      <w:pPr>
        <w:pStyle w:val="NoSpacing"/>
        <w:ind w:left="720"/>
        <w:rPr>
          <w:sz w:val="24"/>
          <w:szCs w:val="24"/>
        </w:rPr>
      </w:pPr>
    </w:p>
    <w:p w:rsidR="007907A6" w:rsidRPr="008850EC" w:rsidRDefault="00294B64" w:rsidP="00D453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i/>
          <w:sz w:val="24"/>
          <w:szCs w:val="24"/>
        </w:rPr>
      </w:pPr>
      <w:r w:rsidRPr="008850EC">
        <w:rPr>
          <w:i/>
          <w:sz w:val="24"/>
          <w:szCs w:val="24"/>
        </w:rPr>
        <w:t xml:space="preserve">By </w:t>
      </w:r>
      <w:r w:rsidR="00483402">
        <w:rPr>
          <w:i/>
          <w:sz w:val="24"/>
          <w:szCs w:val="24"/>
        </w:rPr>
        <w:t xml:space="preserve">selecting “YES” in </w:t>
      </w:r>
      <w:r w:rsidR="005931E9">
        <w:rPr>
          <w:i/>
          <w:sz w:val="24"/>
          <w:szCs w:val="24"/>
        </w:rPr>
        <w:t>‘</w:t>
      </w:r>
      <w:r w:rsidR="005931E9" w:rsidRPr="00C72647">
        <w:rPr>
          <w:b/>
          <w:i/>
          <w:sz w:val="24"/>
          <w:szCs w:val="24"/>
        </w:rPr>
        <w:t>Additional Department Notes’</w:t>
      </w:r>
      <w:r w:rsidR="005931E9">
        <w:rPr>
          <w:i/>
          <w:sz w:val="24"/>
          <w:szCs w:val="24"/>
        </w:rPr>
        <w:t xml:space="preserve"> column</w:t>
      </w:r>
      <w:r w:rsidR="00D17001" w:rsidRPr="00D17001">
        <w:rPr>
          <w:i/>
          <w:sz w:val="24"/>
          <w:szCs w:val="24"/>
        </w:rPr>
        <w:t>, you are certifying the project has ended, there are no valid encumbrances, all revenue is collected, and all expenses have posted.</w:t>
      </w:r>
    </w:p>
    <w:p w:rsidR="007907A6" w:rsidRPr="008850EC" w:rsidRDefault="007907A6" w:rsidP="00261026">
      <w:pPr>
        <w:pStyle w:val="NoSpacing"/>
        <w:ind w:left="720"/>
        <w:rPr>
          <w:sz w:val="24"/>
          <w:szCs w:val="24"/>
        </w:rPr>
      </w:pPr>
    </w:p>
    <w:p w:rsidR="007907A6" w:rsidRPr="008850EC" w:rsidRDefault="007907A6" w:rsidP="00C7006C">
      <w:pPr>
        <w:pStyle w:val="NoSpacing"/>
        <w:rPr>
          <w:b/>
          <w:sz w:val="24"/>
          <w:szCs w:val="24"/>
          <w:u w:val="single"/>
        </w:rPr>
      </w:pPr>
      <w:r w:rsidRPr="008850EC">
        <w:rPr>
          <w:b/>
          <w:sz w:val="24"/>
          <w:szCs w:val="24"/>
          <w:u w:val="single"/>
        </w:rPr>
        <w:t>Step #4: Address Surplus and Deficit Balances</w:t>
      </w:r>
      <w:r w:rsidRPr="008850EC">
        <w:rPr>
          <w:sz w:val="24"/>
          <w:szCs w:val="24"/>
        </w:rPr>
        <w:t xml:space="preserve"> </w:t>
      </w:r>
    </w:p>
    <w:p w:rsidR="007907A6" w:rsidRPr="008850EC" w:rsidRDefault="007907A6" w:rsidP="00C7264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Review </w:t>
      </w:r>
      <w:r w:rsidR="00C72647">
        <w:rPr>
          <w:sz w:val="24"/>
          <w:szCs w:val="24"/>
        </w:rPr>
        <w:t>the data in Columns ‘</w:t>
      </w:r>
      <w:r w:rsidR="00C72647" w:rsidRPr="00C72647">
        <w:rPr>
          <w:b/>
          <w:sz w:val="24"/>
          <w:szCs w:val="24"/>
        </w:rPr>
        <w:t>LTD AWARD BILLABLE COST</w:t>
      </w:r>
      <w:r w:rsidR="00C72647">
        <w:rPr>
          <w:b/>
          <w:sz w:val="24"/>
          <w:szCs w:val="24"/>
        </w:rPr>
        <w:t>’</w:t>
      </w:r>
      <w:r w:rsidR="00C72647" w:rsidRPr="00C72647">
        <w:rPr>
          <w:sz w:val="24"/>
          <w:szCs w:val="24"/>
        </w:rPr>
        <w:t xml:space="preserve"> </w:t>
      </w:r>
      <w:r w:rsidR="00C72647">
        <w:rPr>
          <w:sz w:val="24"/>
          <w:szCs w:val="24"/>
        </w:rPr>
        <w:t>and ‘</w:t>
      </w:r>
      <w:r w:rsidR="00C72647" w:rsidRPr="00C72647">
        <w:rPr>
          <w:b/>
          <w:sz w:val="24"/>
          <w:szCs w:val="24"/>
        </w:rPr>
        <w:t>LTD AWARD INVOICED AMOUNT</w:t>
      </w:r>
      <w:r w:rsidR="00C72647">
        <w:rPr>
          <w:b/>
          <w:sz w:val="24"/>
          <w:szCs w:val="24"/>
        </w:rPr>
        <w:t xml:space="preserve">’ </w:t>
      </w:r>
      <w:r w:rsidR="00C72647" w:rsidRPr="00C72647">
        <w:rPr>
          <w:sz w:val="24"/>
          <w:szCs w:val="24"/>
        </w:rPr>
        <w:t>columns</w:t>
      </w:r>
      <w:r w:rsidR="00D17001" w:rsidRPr="00D17001">
        <w:rPr>
          <w:sz w:val="24"/>
          <w:szCs w:val="24"/>
        </w:rPr>
        <w:t>, which indicates the total amount of the surplus or deficit.</w:t>
      </w:r>
    </w:p>
    <w:p w:rsidR="007907A6" w:rsidRPr="008850EC" w:rsidRDefault="007907A6" w:rsidP="00D17001">
      <w:pPr>
        <w:pStyle w:val="NoSpacing"/>
        <w:numPr>
          <w:ilvl w:val="1"/>
          <w:numId w:val="7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A </w:t>
      </w:r>
      <w:r w:rsidRPr="008850EC">
        <w:rPr>
          <w:i/>
          <w:sz w:val="24"/>
          <w:szCs w:val="24"/>
        </w:rPr>
        <w:t>surplus</w:t>
      </w:r>
      <w:r w:rsidRPr="008850EC">
        <w:rPr>
          <w:b/>
          <w:sz w:val="24"/>
          <w:szCs w:val="24"/>
        </w:rPr>
        <w:t xml:space="preserve"> </w:t>
      </w:r>
      <w:r w:rsidR="00D17001" w:rsidRPr="00D17001">
        <w:rPr>
          <w:sz w:val="24"/>
          <w:szCs w:val="24"/>
        </w:rPr>
        <w:t xml:space="preserve">indicates the invoicing exceeds the </w:t>
      </w:r>
      <w:r w:rsidR="00C72647">
        <w:rPr>
          <w:sz w:val="24"/>
          <w:szCs w:val="24"/>
        </w:rPr>
        <w:t>costs</w:t>
      </w:r>
      <w:r w:rsidR="00D17001" w:rsidRPr="00D17001">
        <w:rPr>
          <w:sz w:val="24"/>
          <w:szCs w:val="24"/>
        </w:rPr>
        <w:t>. The department will retain the surplus.</w:t>
      </w:r>
    </w:p>
    <w:p w:rsidR="007907A6" w:rsidRPr="008850EC" w:rsidRDefault="007907A6" w:rsidP="00D17001">
      <w:pPr>
        <w:pStyle w:val="NoSpacing"/>
        <w:numPr>
          <w:ilvl w:val="1"/>
          <w:numId w:val="7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A </w:t>
      </w:r>
      <w:r w:rsidRPr="008850EC">
        <w:rPr>
          <w:i/>
          <w:sz w:val="24"/>
          <w:szCs w:val="24"/>
        </w:rPr>
        <w:t>deficit</w:t>
      </w:r>
      <w:r w:rsidRPr="008850EC">
        <w:rPr>
          <w:b/>
          <w:sz w:val="24"/>
          <w:szCs w:val="24"/>
        </w:rPr>
        <w:t xml:space="preserve"> </w:t>
      </w:r>
      <w:r w:rsidR="00D17001" w:rsidRPr="00D17001">
        <w:rPr>
          <w:sz w:val="24"/>
          <w:szCs w:val="24"/>
        </w:rPr>
        <w:t>indicates the expenses exceed the amount invoiced. The department will need to fund the deficit amount</w:t>
      </w:r>
      <w:r w:rsidR="00D17001">
        <w:rPr>
          <w:sz w:val="24"/>
          <w:szCs w:val="24"/>
        </w:rPr>
        <w:t>.</w:t>
      </w:r>
    </w:p>
    <w:p w:rsidR="007907A6" w:rsidRDefault="007907A6" w:rsidP="00C7264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Indicate </w:t>
      </w:r>
      <w:r w:rsidR="00D17001" w:rsidRPr="00D17001">
        <w:rPr>
          <w:sz w:val="24"/>
          <w:szCs w:val="24"/>
        </w:rPr>
        <w:t>project that the surplus/deficit entry should be processed to, along with the non-sponsored SOAPF that will receive the surplu</w:t>
      </w:r>
      <w:r w:rsidR="00483402">
        <w:rPr>
          <w:sz w:val="24"/>
          <w:szCs w:val="24"/>
        </w:rPr>
        <w:t>s or fund the deficit (</w:t>
      </w:r>
      <w:r w:rsidR="00C72647">
        <w:rPr>
          <w:sz w:val="24"/>
          <w:szCs w:val="24"/>
        </w:rPr>
        <w:t>‘</w:t>
      </w:r>
      <w:r w:rsidR="00C72647" w:rsidRPr="00C72647">
        <w:rPr>
          <w:b/>
          <w:sz w:val="24"/>
          <w:szCs w:val="24"/>
        </w:rPr>
        <w:t>SOAPF to use for Surplus/Deficit Transfer’</w:t>
      </w:r>
      <w:r w:rsidR="00C72647">
        <w:rPr>
          <w:sz w:val="24"/>
          <w:szCs w:val="24"/>
        </w:rPr>
        <w:t xml:space="preserve"> column</w:t>
      </w:r>
      <w:r w:rsidR="00D17001" w:rsidRPr="00D17001">
        <w:rPr>
          <w:sz w:val="24"/>
          <w:szCs w:val="24"/>
        </w:rPr>
        <w:t>).</w:t>
      </w:r>
    </w:p>
    <w:p w:rsidR="00C72647" w:rsidRDefault="00D17001" w:rsidP="00D17001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Projects </w:t>
      </w:r>
      <w:r w:rsidRPr="00D17001">
        <w:rPr>
          <w:sz w:val="24"/>
          <w:szCs w:val="24"/>
        </w:rPr>
        <w:t>with incomplete or incorrect SOAPF information will be returned to the department for corrections.</w:t>
      </w:r>
      <w:r w:rsidR="00C72647">
        <w:rPr>
          <w:sz w:val="24"/>
          <w:szCs w:val="24"/>
        </w:rPr>
        <w:t xml:space="preserve"> </w:t>
      </w:r>
    </w:p>
    <w:p w:rsidR="00D17001" w:rsidRDefault="00C72647" w:rsidP="00D17001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r w:rsidRPr="00C72647">
        <w:rPr>
          <w:b/>
          <w:sz w:val="24"/>
          <w:szCs w:val="24"/>
        </w:rPr>
        <w:t>Campus Reports</w:t>
      </w:r>
      <w:r>
        <w:rPr>
          <w:sz w:val="24"/>
          <w:szCs w:val="24"/>
        </w:rPr>
        <w:t xml:space="preserve"> &gt; </w:t>
      </w:r>
      <w:r w:rsidRPr="00C72647">
        <w:rPr>
          <w:b/>
          <w:sz w:val="24"/>
          <w:szCs w:val="24"/>
        </w:rPr>
        <w:t>QFN129 Projects SOAPF Combo</w:t>
      </w:r>
      <w:r>
        <w:rPr>
          <w:sz w:val="24"/>
          <w:szCs w:val="24"/>
        </w:rPr>
        <w:t xml:space="preserve"> report from your homepage to confirm the combo is correct.</w:t>
      </w:r>
    </w:p>
    <w:p w:rsidR="00C72647" w:rsidRPr="008850EC" w:rsidRDefault="00C72647" w:rsidP="00D17001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31099" cy="19875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15" cy="199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A6" w:rsidRPr="008850EC" w:rsidRDefault="007907A6" w:rsidP="00D1700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850EC">
        <w:rPr>
          <w:sz w:val="24"/>
          <w:szCs w:val="24"/>
        </w:rPr>
        <w:lastRenderedPageBreak/>
        <w:t xml:space="preserve">Only </w:t>
      </w:r>
      <w:r w:rsidR="00D17001" w:rsidRPr="00D17001">
        <w:rPr>
          <w:sz w:val="24"/>
          <w:szCs w:val="24"/>
        </w:rPr>
        <w:t xml:space="preserve">input one SOAPF, as departments will be able to reallocate the surplus closing/deficit funding entry </w:t>
      </w:r>
      <w:proofErr w:type="spellStart"/>
      <w:r w:rsidR="00D17001" w:rsidRPr="00D17001">
        <w:rPr>
          <w:sz w:val="24"/>
          <w:szCs w:val="24"/>
        </w:rPr>
        <w:t>via</w:t>
      </w:r>
      <w:proofErr w:type="spellEnd"/>
      <w:r w:rsidR="00D17001" w:rsidRPr="00D17001">
        <w:rPr>
          <w:sz w:val="24"/>
          <w:szCs w:val="24"/>
        </w:rPr>
        <w:t xml:space="preserve"> Debit Memo after the closing entry has been processed by SPAC</w:t>
      </w:r>
    </w:p>
    <w:p w:rsidR="007907A6" w:rsidRPr="008850EC" w:rsidRDefault="007907A6" w:rsidP="00D1700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850EC">
        <w:rPr>
          <w:sz w:val="24"/>
          <w:szCs w:val="24"/>
        </w:rPr>
        <w:t xml:space="preserve">On </w:t>
      </w:r>
      <w:r w:rsidR="00D17001" w:rsidRPr="00D17001">
        <w:rPr>
          <w:sz w:val="24"/>
          <w:szCs w:val="24"/>
        </w:rPr>
        <w:t xml:space="preserve">projects where the invoices and expense net to 0, no </w:t>
      </w:r>
      <w:r w:rsidR="00D17001">
        <w:rPr>
          <w:sz w:val="24"/>
          <w:szCs w:val="24"/>
        </w:rPr>
        <w:t>SOAPF</w:t>
      </w:r>
      <w:r w:rsidR="00D17001" w:rsidRPr="00D17001">
        <w:rPr>
          <w:sz w:val="24"/>
          <w:szCs w:val="24"/>
        </w:rPr>
        <w:t xml:space="preserve"> information needs to be populated</w:t>
      </w:r>
      <w:r w:rsidR="00C72647">
        <w:rPr>
          <w:sz w:val="24"/>
          <w:szCs w:val="24"/>
        </w:rPr>
        <w:t>, just populate the ‘</w:t>
      </w:r>
      <w:r w:rsidR="00C72647" w:rsidRPr="00C72647">
        <w:rPr>
          <w:b/>
          <w:sz w:val="24"/>
          <w:szCs w:val="24"/>
        </w:rPr>
        <w:t>Close Project?</w:t>
      </w:r>
      <w:r w:rsidR="00C72647">
        <w:rPr>
          <w:sz w:val="24"/>
          <w:szCs w:val="24"/>
        </w:rPr>
        <w:t xml:space="preserve">’ column to confirm that it’s okay for SPAC to close the Project. </w:t>
      </w:r>
    </w:p>
    <w:sectPr w:rsidR="007907A6" w:rsidRPr="008850EC" w:rsidSect="008850EC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A7" w:rsidRDefault="008807A7" w:rsidP="00FF0962">
      <w:pPr>
        <w:spacing w:after="0" w:line="240" w:lineRule="auto"/>
      </w:pPr>
      <w:r>
        <w:separator/>
      </w:r>
    </w:p>
  </w:endnote>
  <w:endnote w:type="continuationSeparator" w:id="0">
    <w:p w:rsidR="008807A7" w:rsidRDefault="008807A7" w:rsidP="00FF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456" w:rsidRPr="00FF0962" w:rsidRDefault="00070456">
    <w:pPr>
      <w:pStyle w:val="Footer"/>
      <w:rPr>
        <w:sz w:val="16"/>
        <w:szCs w:val="16"/>
      </w:rPr>
    </w:pPr>
    <w:r>
      <w:rPr>
        <w:sz w:val="16"/>
        <w:szCs w:val="16"/>
      </w:rPr>
      <w:t>SPAC Team Deliverable Closeout Instructions 12/12/11</w:t>
    </w:r>
  </w:p>
  <w:p w:rsidR="00070456" w:rsidRDefault="00070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A7" w:rsidRDefault="008807A7" w:rsidP="00FF0962">
      <w:pPr>
        <w:spacing w:after="0" w:line="240" w:lineRule="auto"/>
      </w:pPr>
      <w:r>
        <w:separator/>
      </w:r>
    </w:p>
  </w:footnote>
  <w:footnote w:type="continuationSeparator" w:id="0">
    <w:p w:rsidR="008807A7" w:rsidRDefault="008807A7" w:rsidP="00FF0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6879"/>
    <w:multiLevelType w:val="hybridMultilevel"/>
    <w:tmpl w:val="F0FA4670"/>
    <w:lvl w:ilvl="0" w:tplc="AAFE7564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2870B4"/>
    <w:multiLevelType w:val="hybridMultilevel"/>
    <w:tmpl w:val="EA30D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7421D3"/>
    <w:multiLevelType w:val="hybridMultilevel"/>
    <w:tmpl w:val="ECDC5A5E"/>
    <w:lvl w:ilvl="0" w:tplc="BE3CB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02096"/>
    <w:multiLevelType w:val="hybridMultilevel"/>
    <w:tmpl w:val="3B406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DD4C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56A52E7A"/>
    <w:multiLevelType w:val="hybridMultilevel"/>
    <w:tmpl w:val="9B3E0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920841"/>
    <w:multiLevelType w:val="hybridMultilevel"/>
    <w:tmpl w:val="993E5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152D5C"/>
    <w:multiLevelType w:val="hybridMultilevel"/>
    <w:tmpl w:val="140A1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94"/>
    <w:rsid w:val="0000340D"/>
    <w:rsid w:val="00003A4E"/>
    <w:rsid w:val="00003D43"/>
    <w:rsid w:val="000053EE"/>
    <w:rsid w:val="00011F5D"/>
    <w:rsid w:val="00031C39"/>
    <w:rsid w:val="00034635"/>
    <w:rsid w:val="00045891"/>
    <w:rsid w:val="00070456"/>
    <w:rsid w:val="0007082F"/>
    <w:rsid w:val="000940F9"/>
    <w:rsid w:val="000A4110"/>
    <w:rsid w:val="000A4D0F"/>
    <w:rsid w:val="000F0508"/>
    <w:rsid w:val="0010263B"/>
    <w:rsid w:val="00116FAB"/>
    <w:rsid w:val="001400CE"/>
    <w:rsid w:val="00141370"/>
    <w:rsid w:val="00163F4A"/>
    <w:rsid w:val="00165032"/>
    <w:rsid w:val="00176D80"/>
    <w:rsid w:val="0018219A"/>
    <w:rsid w:val="001C7A70"/>
    <w:rsid w:val="001F2313"/>
    <w:rsid w:val="00261026"/>
    <w:rsid w:val="00294B64"/>
    <w:rsid w:val="002B3DC9"/>
    <w:rsid w:val="002C2A04"/>
    <w:rsid w:val="002E2F89"/>
    <w:rsid w:val="00312EF1"/>
    <w:rsid w:val="00355AFF"/>
    <w:rsid w:val="00355F70"/>
    <w:rsid w:val="00372710"/>
    <w:rsid w:val="00397A18"/>
    <w:rsid w:val="003C3EC4"/>
    <w:rsid w:val="003D30FE"/>
    <w:rsid w:val="003E2574"/>
    <w:rsid w:val="00415D3D"/>
    <w:rsid w:val="00440288"/>
    <w:rsid w:val="00483402"/>
    <w:rsid w:val="004F555F"/>
    <w:rsid w:val="005846A1"/>
    <w:rsid w:val="005931E9"/>
    <w:rsid w:val="00603DB7"/>
    <w:rsid w:val="00636A89"/>
    <w:rsid w:val="006946EC"/>
    <w:rsid w:val="00695688"/>
    <w:rsid w:val="006F63C0"/>
    <w:rsid w:val="00714AAD"/>
    <w:rsid w:val="0072731D"/>
    <w:rsid w:val="007306B9"/>
    <w:rsid w:val="007907A6"/>
    <w:rsid w:val="007A1D87"/>
    <w:rsid w:val="007A5094"/>
    <w:rsid w:val="008613C2"/>
    <w:rsid w:val="0087128F"/>
    <w:rsid w:val="008807A7"/>
    <w:rsid w:val="008850EC"/>
    <w:rsid w:val="008863FE"/>
    <w:rsid w:val="008927E1"/>
    <w:rsid w:val="00913494"/>
    <w:rsid w:val="00922072"/>
    <w:rsid w:val="00931A58"/>
    <w:rsid w:val="009461F4"/>
    <w:rsid w:val="0094668F"/>
    <w:rsid w:val="009507D4"/>
    <w:rsid w:val="009A113C"/>
    <w:rsid w:val="009B7705"/>
    <w:rsid w:val="009E42F5"/>
    <w:rsid w:val="00A13536"/>
    <w:rsid w:val="00A22E15"/>
    <w:rsid w:val="00A96B48"/>
    <w:rsid w:val="00AA33A6"/>
    <w:rsid w:val="00AD174D"/>
    <w:rsid w:val="00AF2B94"/>
    <w:rsid w:val="00AF395C"/>
    <w:rsid w:val="00B15D35"/>
    <w:rsid w:val="00B35120"/>
    <w:rsid w:val="00B9141B"/>
    <w:rsid w:val="00BA5977"/>
    <w:rsid w:val="00BC28AA"/>
    <w:rsid w:val="00BD7BB6"/>
    <w:rsid w:val="00C33008"/>
    <w:rsid w:val="00C55797"/>
    <w:rsid w:val="00C6222C"/>
    <w:rsid w:val="00C7006C"/>
    <w:rsid w:val="00C72647"/>
    <w:rsid w:val="00C9364D"/>
    <w:rsid w:val="00CB346B"/>
    <w:rsid w:val="00CC6E0D"/>
    <w:rsid w:val="00CE3CAA"/>
    <w:rsid w:val="00D00F6E"/>
    <w:rsid w:val="00D17001"/>
    <w:rsid w:val="00D45319"/>
    <w:rsid w:val="00D708FD"/>
    <w:rsid w:val="00D74556"/>
    <w:rsid w:val="00DA34C5"/>
    <w:rsid w:val="00DA48A3"/>
    <w:rsid w:val="00DC249B"/>
    <w:rsid w:val="00DC40CD"/>
    <w:rsid w:val="00DE7781"/>
    <w:rsid w:val="00E0577A"/>
    <w:rsid w:val="00E40536"/>
    <w:rsid w:val="00E53166"/>
    <w:rsid w:val="00E827B8"/>
    <w:rsid w:val="00EA6D48"/>
    <w:rsid w:val="00EB332F"/>
    <w:rsid w:val="00EC0342"/>
    <w:rsid w:val="00EC6107"/>
    <w:rsid w:val="00ED4104"/>
    <w:rsid w:val="00EF2D9D"/>
    <w:rsid w:val="00F13544"/>
    <w:rsid w:val="00F34012"/>
    <w:rsid w:val="00FE46DC"/>
    <w:rsid w:val="00FF0962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0808768-3F8D-4058-9F38-409AFC39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0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91349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1349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913494"/>
    <w:rPr>
      <w:sz w:val="22"/>
      <w:szCs w:val="22"/>
    </w:rPr>
  </w:style>
  <w:style w:type="character" w:styleId="Hyperlink">
    <w:name w:val="Hyperlink"/>
    <w:basedOn w:val="DefaultParagraphFont"/>
    <w:uiPriority w:val="99"/>
    <w:rsid w:val="00DA48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46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FF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09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9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F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Deliverables Project Closeout Instructions</vt:lpstr>
    </vt:vector>
  </TitlesOfParts>
  <Company/>
  <LinksUpToDate>false</LinksUpToDate>
  <CharactersWithSpaces>4772</CharactersWithSpaces>
  <SharedDoc>false</SharedDoc>
  <HLinks>
    <vt:vector size="6" baseType="variant">
      <vt:variant>
        <vt:i4>5111845</vt:i4>
      </vt:variant>
      <vt:variant>
        <vt:i4>0</vt:i4>
      </vt:variant>
      <vt:variant>
        <vt:i4>0</vt:i4>
      </vt:variant>
      <vt:variant>
        <vt:i4>5</vt:i4>
      </vt:variant>
      <vt:variant>
        <vt:lpwstr>mailto:jevans@af.umaryland.edu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Deliverables Project Closeout Instructions</dc:title>
  <dc:creator>sswisher</dc:creator>
  <cp:lastModifiedBy>Kopchinski, Christy</cp:lastModifiedBy>
  <cp:revision>2</cp:revision>
  <cp:lastPrinted>2013-02-14T19:50:00Z</cp:lastPrinted>
  <dcterms:created xsi:type="dcterms:W3CDTF">2021-08-11T12:34:00Z</dcterms:created>
  <dcterms:modified xsi:type="dcterms:W3CDTF">2021-08-11T12:34:00Z</dcterms:modified>
</cp:coreProperties>
</file>